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5C9" w:rsidRPr="00AC6121" w:rsidRDefault="005065C9" w:rsidP="005065C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pacing w:val="5"/>
          <w:sz w:val="24"/>
          <w:szCs w:val="24"/>
          <w:lang w:eastAsia="uk-UA"/>
        </w:rPr>
      </w:pPr>
      <w:r w:rsidRPr="007E13BB">
        <w:rPr>
          <w:rFonts w:ascii="Times New Roman" w:hAnsi="Times New Roman" w:cs="Times New Roman"/>
          <w:spacing w:val="5"/>
          <w:sz w:val="28"/>
          <w:szCs w:val="28"/>
          <w:highlight w:val="yellow"/>
        </w:rPr>
        <w:t>Заголовок:</w:t>
      </w:r>
      <w:r w:rsidRPr="007E13BB">
        <w:rPr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212529"/>
          <w:spacing w:val="5"/>
          <w:sz w:val="24"/>
          <w:szCs w:val="24"/>
        </w:rPr>
        <w:t>25</w:t>
      </w:r>
      <w:r w:rsidRPr="00EC6CF2">
        <w:rPr>
          <w:rFonts w:ascii="Times New Roman" w:hAnsi="Times New Roman" w:cs="Times New Roman"/>
          <w:b/>
          <w:color w:val="212529"/>
          <w:spacing w:val="5"/>
          <w:sz w:val="24"/>
          <w:szCs w:val="24"/>
        </w:rPr>
        <w:t xml:space="preserve"> </w:t>
      </w:r>
      <w:r w:rsidRPr="00EC6CF2">
        <w:rPr>
          <w:rFonts w:ascii="Times New Roman" w:hAnsi="Times New Roman" w:cs="Times New Roman"/>
          <w:b/>
          <w:color w:val="212529"/>
          <w:spacing w:val="5"/>
          <w:sz w:val="24"/>
          <w:szCs w:val="24"/>
        </w:rPr>
        <w:t>березня</w:t>
      </w:r>
      <w:r w:rsidRPr="00EC6CF2">
        <w:rPr>
          <w:rFonts w:ascii="Times New Roman" w:hAnsi="Times New Roman" w:cs="Times New Roman"/>
          <w:b/>
          <w:color w:val="212529"/>
          <w:spacing w:val="5"/>
          <w:sz w:val="24"/>
          <w:szCs w:val="24"/>
        </w:rPr>
        <w:t xml:space="preserve"> 2026 </w:t>
      </w:r>
      <w:r w:rsidRPr="00EC6CF2">
        <w:rPr>
          <w:rFonts w:ascii="Times New Roman" w:hAnsi="Times New Roman" w:cs="Times New Roman"/>
          <w:b/>
          <w:color w:val="212529"/>
          <w:spacing w:val="5"/>
          <w:sz w:val="24"/>
          <w:szCs w:val="24"/>
        </w:rPr>
        <w:t xml:space="preserve">року </w:t>
      </w:r>
      <w:r w:rsidRPr="00A07233">
        <w:rPr>
          <w:rStyle w:val="a5"/>
          <w:rFonts w:ascii="Times New Roman" w:hAnsi="Times New Roman" w:cs="Times New Roman"/>
          <w:sz w:val="26"/>
          <w:szCs w:val="26"/>
        </w:rPr>
        <w:t xml:space="preserve">семінар-тренінг </w:t>
      </w:r>
      <w:r w:rsidRPr="00A07233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Pr="00A07233">
        <w:rPr>
          <w:rFonts w:ascii="Times New Roman" w:eastAsia="Times New Roman" w:hAnsi="Times New Roman" w:cs="Times New Roman"/>
          <w:b/>
          <w:sz w:val="26"/>
          <w:szCs w:val="26"/>
        </w:rPr>
        <w:t xml:space="preserve">ОМТ - </w:t>
      </w:r>
      <w:r w:rsidRPr="00A07233">
        <w:rPr>
          <w:rFonts w:ascii="Times New Roman" w:eastAsia="Times New Roman" w:hAnsi="Times New Roman" w:cs="Times New Roman"/>
          <w:b/>
          <w:sz w:val="26"/>
          <w:szCs w:val="26"/>
        </w:rPr>
        <w:t>інструмент оцінки цінності медичних технологій в частині аналізу економічної доцільності медичних технологій</w:t>
      </w:r>
      <w:r w:rsidRPr="00A07233"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»</w:t>
      </w:r>
    </w:p>
    <w:p w:rsidR="005065C9" w:rsidRPr="005065C9" w:rsidRDefault="005065C9" w:rsidP="005065C9">
      <w:pPr>
        <w:pStyle w:val="1"/>
        <w:shd w:val="clear" w:color="auto" w:fill="FFFFFF"/>
        <w:spacing w:before="0" w:beforeAutospacing="0"/>
        <w:jc w:val="center"/>
        <w:rPr>
          <w:rStyle w:val="a5"/>
          <w:rFonts w:ascii="Arial" w:hAnsi="Arial" w:cs="Arial"/>
          <w:b/>
          <w:bCs/>
          <w:spacing w:val="5"/>
          <w:sz w:val="38"/>
          <w:szCs w:val="38"/>
        </w:rPr>
      </w:pPr>
      <w:r w:rsidRPr="007E13BB">
        <w:rPr>
          <w:b w:val="0"/>
          <w:sz w:val="28"/>
          <w:szCs w:val="28"/>
          <w:highlight w:val="yellow"/>
        </w:rPr>
        <w:t>Текст:</w:t>
      </w:r>
    </w:p>
    <w:p w:rsidR="00856AA8" w:rsidRPr="000936FE" w:rsidRDefault="00A07233" w:rsidP="000936FE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07233">
        <w:rPr>
          <w:rStyle w:val="a5"/>
          <w:rFonts w:ascii="Times New Roman" w:hAnsi="Times New Roman" w:cs="Times New Roman"/>
          <w:sz w:val="26"/>
          <w:szCs w:val="26"/>
        </w:rPr>
        <w:t xml:space="preserve">ДО УВАГИ! ЗАПРОШУЄМО НА СЕМІНАР-ТРЕНІНГ </w:t>
      </w:r>
      <w:r w:rsidRPr="00A07233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Pr="00A07233">
        <w:rPr>
          <w:rFonts w:ascii="Times New Roman" w:eastAsia="Times New Roman" w:hAnsi="Times New Roman" w:cs="Times New Roman"/>
          <w:b/>
          <w:sz w:val="26"/>
          <w:szCs w:val="26"/>
        </w:rPr>
        <w:t>ОМТ - ІНСТРУМЕНТ ОЦІНКИ ЦІННОСТІ МЕДИЧНИХ ТЕХНОЛОГІЙ В ЧАСТИНІ АНАЛІЗУ ЕКОНОМІЧНОЇ ДОЦІЛЬНОСТІ МЕДИЧНИХ ТЕХНОЛОГІЙ</w:t>
      </w:r>
      <w:r w:rsidRPr="00A07233"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»</w:t>
      </w:r>
    </w:p>
    <w:p w:rsidR="004241A4" w:rsidRPr="00F514BD" w:rsidRDefault="004241A4" w:rsidP="004241A4">
      <w:pPr>
        <w:jc w:val="both"/>
        <w:rPr>
          <w:rStyle w:val="a5"/>
          <w:rFonts w:ascii="Times New Roman" w:eastAsia="Times New Roman" w:hAnsi="Times New Roman" w:cs="Times New Roman"/>
          <w:bCs w:val="0"/>
          <w:color w:val="1F3864" w:themeColor="accent5" w:themeShade="80"/>
          <w:sz w:val="26"/>
          <w:szCs w:val="26"/>
        </w:rPr>
      </w:pPr>
      <w:r w:rsidRPr="004241A4">
        <w:rPr>
          <w:rFonts w:ascii="Times New Roman" w:hAnsi="Times New Roman" w:cs="Times New Roman"/>
          <w:b/>
          <w:color w:val="1F3864" w:themeColor="accent5" w:themeShade="80"/>
          <w:sz w:val="26"/>
          <w:szCs w:val="26"/>
        </w:rPr>
        <w:t>25 березня 2026 року</w:t>
      </w:r>
      <w:r w:rsidRPr="004241A4">
        <w:rPr>
          <w:rFonts w:ascii="Times New Roman" w:hAnsi="Times New Roman" w:cs="Times New Roman"/>
          <w:color w:val="1F3864" w:themeColor="accent5" w:themeShade="80"/>
          <w:sz w:val="26"/>
          <w:szCs w:val="26"/>
        </w:rPr>
        <w:t xml:space="preserve"> </w:t>
      </w:r>
      <w:r w:rsidR="00A07233" w:rsidRPr="00A07233">
        <w:rPr>
          <w:rFonts w:ascii="Times New Roman" w:hAnsi="Times New Roman" w:cs="Times New Roman"/>
          <w:sz w:val="26"/>
          <w:szCs w:val="26"/>
        </w:rPr>
        <w:t>Державний експертний центр МОЗ України проводить</w:t>
      </w:r>
      <w:r w:rsidR="00A07233">
        <w:rPr>
          <w:rFonts w:ascii="Times New Roman" w:hAnsi="Times New Roman" w:cs="Times New Roman"/>
          <w:color w:val="1F3864" w:themeColor="accent5" w:themeShade="80"/>
          <w:sz w:val="26"/>
          <w:szCs w:val="26"/>
        </w:rPr>
        <w:t xml:space="preserve"> </w:t>
      </w:r>
      <w:r w:rsidR="00A07233">
        <w:rPr>
          <w:rStyle w:val="a5"/>
          <w:rFonts w:ascii="Times New Roman" w:hAnsi="Times New Roman" w:cs="Times New Roman"/>
          <w:color w:val="1F3864" w:themeColor="accent5" w:themeShade="80"/>
          <w:sz w:val="26"/>
          <w:szCs w:val="26"/>
        </w:rPr>
        <w:t>семінар-тренінг</w:t>
      </w:r>
      <w:r w:rsidRPr="004241A4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Pr="004241A4">
        <w:rPr>
          <w:rFonts w:ascii="Times New Roman" w:hAnsi="Times New Roman" w:cs="Times New Roman"/>
          <w:b/>
          <w:bCs/>
          <w:color w:val="1F3864" w:themeColor="accent5" w:themeShade="80"/>
          <w:sz w:val="26"/>
          <w:szCs w:val="26"/>
        </w:rPr>
        <w:t>«</w:t>
      </w:r>
      <w:r w:rsidRPr="004241A4">
        <w:rPr>
          <w:rFonts w:ascii="Times New Roman" w:eastAsia="Times New Roman" w:hAnsi="Times New Roman" w:cs="Times New Roman"/>
          <w:b/>
          <w:color w:val="1F3864" w:themeColor="accent5" w:themeShade="80"/>
          <w:sz w:val="26"/>
          <w:szCs w:val="26"/>
        </w:rPr>
        <w:t>ОМТ - інструмент оцінки цінності медичних технологій в частині аналізу економічної доцільності медичних технологій</w:t>
      </w:r>
      <w:r w:rsidRPr="004241A4">
        <w:rPr>
          <w:rFonts w:ascii="Times New Roman" w:eastAsia="Times New Roman" w:hAnsi="Times New Roman" w:cs="Times New Roman"/>
          <w:b/>
          <w:color w:val="1F3864" w:themeColor="accent5" w:themeShade="80"/>
          <w:sz w:val="26"/>
          <w:szCs w:val="26"/>
          <w:highlight w:val="white"/>
        </w:rPr>
        <w:t>»</w:t>
      </w:r>
    </w:p>
    <w:p w:rsidR="00A07233" w:rsidRDefault="00BE3D91" w:rsidP="00A0723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4241A4">
        <w:rPr>
          <w:rStyle w:val="a5"/>
          <w:bCs w:val="0"/>
          <w:color w:val="1F3864" w:themeColor="accent5" w:themeShade="80"/>
          <w:sz w:val="26"/>
          <w:szCs w:val="26"/>
        </w:rPr>
        <w:t>Мета семінару:</w:t>
      </w:r>
      <w:r w:rsidR="00F514BD">
        <w:rPr>
          <w:rStyle w:val="a5"/>
          <w:bCs w:val="0"/>
          <w:color w:val="1F3864" w:themeColor="accent5" w:themeShade="80"/>
          <w:sz w:val="26"/>
          <w:szCs w:val="26"/>
        </w:rPr>
        <w:t xml:space="preserve"> </w:t>
      </w:r>
      <w:r w:rsidR="00F514BD" w:rsidRPr="00A07233">
        <w:rPr>
          <w:rStyle w:val="a5"/>
          <w:b w:val="0"/>
          <w:bCs w:val="0"/>
          <w:sz w:val="26"/>
          <w:szCs w:val="26"/>
        </w:rPr>
        <w:t xml:space="preserve">захід </w:t>
      </w:r>
      <w:r w:rsidR="00F514BD" w:rsidRPr="00A07233">
        <w:rPr>
          <w:sz w:val="26"/>
          <w:szCs w:val="26"/>
        </w:rPr>
        <w:t xml:space="preserve">присвячений практичному застосуванню державної оцінки медичних технологій у прийнятті обґрунтованих </w:t>
      </w:r>
      <w:r w:rsidR="00A07233">
        <w:rPr>
          <w:sz w:val="26"/>
          <w:szCs w:val="26"/>
        </w:rPr>
        <w:t xml:space="preserve">рішень у сфері охорони здоров’я, </w:t>
      </w:r>
      <w:r w:rsidR="00A07233" w:rsidRPr="00A07233">
        <w:rPr>
          <w:sz w:val="26"/>
          <w:szCs w:val="26"/>
          <w:lang w:val="ru-RU"/>
        </w:rPr>
        <w:t>-</w:t>
      </w:r>
      <w:r w:rsidR="00F514BD" w:rsidRPr="00A07233">
        <w:rPr>
          <w:sz w:val="26"/>
          <w:szCs w:val="26"/>
        </w:rPr>
        <w:t xml:space="preserve"> </w:t>
      </w:r>
      <w:r w:rsidR="00A07233">
        <w:rPr>
          <w:sz w:val="26"/>
          <w:szCs w:val="26"/>
        </w:rPr>
        <w:t>ознайомлення</w:t>
      </w:r>
      <w:r w:rsidR="00F514BD" w:rsidRPr="00A07233">
        <w:rPr>
          <w:sz w:val="26"/>
          <w:szCs w:val="26"/>
        </w:rPr>
        <w:t xml:space="preserve"> з роллю ОМТ у покращенні доступу пацієнтів до клінічно ефективного та економічно </w:t>
      </w:r>
      <w:r w:rsidR="00A07233">
        <w:rPr>
          <w:sz w:val="26"/>
          <w:szCs w:val="26"/>
        </w:rPr>
        <w:t>доцільного лікування;</w:t>
      </w:r>
      <w:r w:rsidR="00F514BD" w:rsidRPr="00A07233">
        <w:rPr>
          <w:sz w:val="26"/>
          <w:szCs w:val="26"/>
        </w:rPr>
        <w:t xml:space="preserve"> використанням положень Настанови з державної ОМТ для лікарських засобів у </w:t>
      </w:r>
      <w:r w:rsidR="00A07233">
        <w:rPr>
          <w:sz w:val="26"/>
          <w:szCs w:val="26"/>
        </w:rPr>
        <w:t>процесі підготовки заяв і досьє.</w:t>
      </w:r>
      <w:r w:rsidR="00F514BD" w:rsidRPr="00A07233">
        <w:rPr>
          <w:sz w:val="26"/>
          <w:szCs w:val="26"/>
        </w:rPr>
        <w:t xml:space="preserve"> </w:t>
      </w:r>
    </w:p>
    <w:p w:rsidR="000936FE" w:rsidRPr="00A07233" w:rsidRDefault="000936FE" w:rsidP="00A0723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D873C4" w:rsidRPr="00D873C4" w:rsidRDefault="008D4268" w:rsidP="004241A4">
      <w:pPr>
        <w:pStyle w:val="a3"/>
        <w:spacing w:before="0" w:beforeAutospacing="0" w:after="0" w:afterAutospacing="0"/>
        <w:rPr>
          <w:bCs/>
          <w:color w:val="1F3864" w:themeColor="accent5" w:themeShade="80"/>
          <w:sz w:val="26"/>
          <w:szCs w:val="26"/>
        </w:rPr>
      </w:pPr>
      <w:r>
        <w:rPr>
          <w:b/>
          <w:bCs/>
          <w:color w:val="1F3864" w:themeColor="accent5" w:themeShade="80"/>
          <w:sz w:val="26"/>
          <w:szCs w:val="26"/>
        </w:rPr>
        <w:t>У програмі семінару</w:t>
      </w:r>
      <w:r w:rsidR="00BE3D91" w:rsidRPr="00974E1B">
        <w:rPr>
          <w:b/>
          <w:bCs/>
          <w:color w:val="1F3864" w:themeColor="accent5" w:themeShade="80"/>
          <w:sz w:val="26"/>
          <w:szCs w:val="26"/>
        </w:rPr>
        <w:t>:</w:t>
      </w:r>
      <w:r w:rsidR="00BE3D91" w:rsidRPr="00974E1B">
        <w:rPr>
          <w:bCs/>
          <w:color w:val="1F3864" w:themeColor="accent5" w:themeShade="80"/>
          <w:sz w:val="26"/>
          <w:szCs w:val="26"/>
        </w:rPr>
        <w:t xml:space="preserve"> </w:t>
      </w:r>
    </w:p>
    <w:p w:rsidR="00D873C4" w:rsidRPr="00D37E8A" w:rsidRDefault="00D873C4" w:rsidP="004241A4">
      <w:pPr>
        <w:pStyle w:val="a3"/>
        <w:numPr>
          <w:ilvl w:val="0"/>
          <w:numId w:val="35"/>
        </w:numPr>
        <w:spacing w:before="0" w:beforeAutospacing="0" w:after="0" w:afterAutospacing="0"/>
        <w:jc w:val="both"/>
        <w:rPr>
          <w:sz w:val="26"/>
          <w:szCs w:val="26"/>
        </w:rPr>
      </w:pPr>
      <w:r w:rsidRPr="00D37E8A">
        <w:rPr>
          <w:sz w:val="26"/>
          <w:szCs w:val="26"/>
        </w:rPr>
        <w:t xml:space="preserve">Про важливість та роль державної оцінки медичних технологій </w:t>
      </w:r>
      <w:r w:rsidRPr="00D37E8A">
        <w:rPr>
          <w:rStyle w:val="a5"/>
          <w:sz w:val="26"/>
          <w:szCs w:val="26"/>
        </w:rPr>
        <w:t>у покращенні доступу пацієнтів до клінічно ефективного та економічно доцільного лікування</w:t>
      </w:r>
      <w:r w:rsidR="00D37E8A" w:rsidRPr="00D37E8A">
        <w:rPr>
          <w:rStyle w:val="a5"/>
          <w:sz w:val="26"/>
          <w:szCs w:val="26"/>
        </w:rPr>
        <w:t>.</w:t>
      </w:r>
    </w:p>
    <w:p w:rsidR="00D873C4" w:rsidRPr="00D37E8A" w:rsidRDefault="00D873C4" w:rsidP="004241A4">
      <w:pPr>
        <w:pStyle w:val="a3"/>
        <w:numPr>
          <w:ilvl w:val="0"/>
          <w:numId w:val="35"/>
        </w:numPr>
        <w:spacing w:before="0" w:beforeAutospacing="0" w:after="0" w:afterAutospacing="0"/>
        <w:jc w:val="both"/>
        <w:rPr>
          <w:b/>
          <w:sz w:val="26"/>
          <w:szCs w:val="26"/>
        </w:rPr>
      </w:pPr>
      <w:r w:rsidRPr="00D37E8A">
        <w:rPr>
          <w:rStyle w:val="a5"/>
          <w:b w:val="0"/>
          <w:sz w:val="26"/>
          <w:szCs w:val="26"/>
        </w:rPr>
        <w:t xml:space="preserve">Використання положень </w:t>
      </w:r>
      <w:r w:rsidRPr="00D37E8A">
        <w:rPr>
          <w:rStyle w:val="a5"/>
          <w:sz w:val="26"/>
          <w:szCs w:val="26"/>
        </w:rPr>
        <w:t>Настанови з Державної оцінки медичних технологій для лікарських засобів</w:t>
      </w:r>
      <w:r w:rsidRPr="00D37E8A">
        <w:rPr>
          <w:b/>
          <w:bCs/>
          <w:sz w:val="26"/>
          <w:szCs w:val="26"/>
        </w:rPr>
        <w:t xml:space="preserve"> </w:t>
      </w:r>
      <w:r w:rsidRPr="00D37E8A">
        <w:rPr>
          <w:rStyle w:val="a5"/>
          <w:b w:val="0"/>
          <w:sz w:val="26"/>
          <w:szCs w:val="26"/>
        </w:rPr>
        <w:t xml:space="preserve"> </w:t>
      </w:r>
      <w:r w:rsidR="00D37E8A" w:rsidRPr="00D37E8A">
        <w:rPr>
          <w:rStyle w:val="a5"/>
          <w:b w:val="0"/>
          <w:sz w:val="26"/>
          <w:szCs w:val="26"/>
        </w:rPr>
        <w:t>у процесі підготовки</w:t>
      </w:r>
      <w:r w:rsidRPr="00D37E8A">
        <w:rPr>
          <w:rStyle w:val="a5"/>
          <w:b w:val="0"/>
          <w:sz w:val="26"/>
          <w:szCs w:val="26"/>
        </w:rPr>
        <w:t xml:space="preserve"> заяв і досьє</w:t>
      </w:r>
      <w:r w:rsidR="00D37E8A" w:rsidRPr="00D37E8A">
        <w:rPr>
          <w:rStyle w:val="a5"/>
          <w:b w:val="0"/>
          <w:sz w:val="26"/>
          <w:szCs w:val="26"/>
        </w:rPr>
        <w:t>.</w:t>
      </w:r>
    </w:p>
    <w:p w:rsidR="00D873C4" w:rsidRPr="00D37E8A" w:rsidRDefault="00D873C4" w:rsidP="004241A4">
      <w:pPr>
        <w:pStyle w:val="a3"/>
        <w:numPr>
          <w:ilvl w:val="0"/>
          <w:numId w:val="35"/>
        </w:numPr>
        <w:spacing w:before="0" w:beforeAutospacing="0" w:after="0" w:afterAutospacing="0"/>
        <w:jc w:val="both"/>
        <w:rPr>
          <w:sz w:val="26"/>
          <w:szCs w:val="26"/>
        </w:rPr>
      </w:pPr>
      <w:r w:rsidRPr="00D37E8A">
        <w:rPr>
          <w:rStyle w:val="a5"/>
          <w:sz w:val="26"/>
          <w:szCs w:val="26"/>
        </w:rPr>
        <w:t>Підготовка досьє крок за кроком:</w:t>
      </w:r>
      <w:r w:rsidRPr="00D37E8A">
        <w:rPr>
          <w:sz w:val="26"/>
          <w:szCs w:val="26"/>
        </w:rPr>
        <w:t xml:space="preserve"> теорія та практичні кейси.</w:t>
      </w:r>
      <w:r w:rsidRPr="00D37E8A">
        <w:rPr>
          <w:sz w:val="26"/>
          <w:szCs w:val="26"/>
        </w:rPr>
        <w:br/>
        <w:t xml:space="preserve">Основні методи </w:t>
      </w:r>
      <w:proofErr w:type="spellStart"/>
      <w:r w:rsidRPr="00D37E8A">
        <w:rPr>
          <w:sz w:val="26"/>
          <w:szCs w:val="26"/>
        </w:rPr>
        <w:t>фармакоекономічного</w:t>
      </w:r>
      <w:proofErr w:type="spellEnd"/>
      <w:r w:rsidRPr="00D37E8A">
        <w:rPr>
          <w:sz w:val="26"/>
          <w:szCs w:val="26"/>
        </w:rPr>
        <w:t xml:space="preserve"> аналізу</w:t>
      </w:r>
      <w:r w:rsidR="00D37E8A">
        <w:rPr>
          <w:sz w:val="26"/>
          <w:szCs w:val="26"/>
        </w:rPr>
        <w:t>.</w:t>
      </w:r>
    </w:p>
    <w:p w:rsidR="000466D8" w:rsidRPr="00D37E8A" w:rsidRDefault="00D873C4" w:rsidP="004241A4">
      <w:pPr>
        <w:pStyle w:val="a3"/>
        <w:numPr>
          <w:ilvl w:val="0"/>
          <w:numId w:val="35"/>
        </w:numPr>
        <w:spacing w:before="0" w:beforeAutospacing="0" w:after="0" w:afterAutospacing="0"/>
        <w:jc w:val="both"/>
        <w:rPr>
          <w:b/>
          <w:sz w:val="26"/>
          <w:szCs w:val="26"/>
        </w:rPr>
      </w:pPr>
      <w:r w:rsidRPr="00D37E8A">
        <w:rPr>
          <w:rStyle w:val="a5"/>
          <w:sz w:val="26"/>
          <w:szCs w:val="26"/>
        </w:rPr>
        <w:t>Практичний майстер-клас:</w:t>
      </w:r>
      <w:r w:rsidR="00D37E8A">
        <w:rPr>
          <w:sz w:val="26"/>
          <w:szCs w:val="26"/>
        </w:rPr>
        <w:t xml:space="preserve"> м</w:t>
      </w:r>
      <w:r w:rsidRPr="00D37E8A">
        <w:rPr>
          <w:sz w:val="26"/>
          <w:szCs w:val="26"/>
        </w:rPr>
        <w:t xml:space="preserve">етодологія побудови </w:t>
      </w:r>
      <w:r w:rsidRPr="00D37E8A">
        <w:rPr>
          <w:b/>
          <w:sz w:val="26"/>
          <w:szCs w:val="26"/>
        </w:rPr>
        <w:t xml:space="preserve">моделі Маркова у середовищі </w:t>
      </w:r>
      <w:r w:rsidRPr="00D37E8A">
        <w:rPr>
          <w:rStyle w:val="a5"/>
          <w:sz w:val="26"/>
          <w:szCs w:val="26"/>
        </w:rPr>
        <w:t>MS Excel</w:t>
      </w:r>
      <w:r w:rsidRPr="00D37E8A">
        <w:rPr>
          <w:b/>
          <w:sz w:val="26"/>
          <w:szCs w:val="26"/>
        </w:rPr>
        <w:t>.</w:t>
      </w:r>
    </w:p>
    <w:p w:rsidR="00A07233" w:rsidRDefault="00A07233" w:rsidP="004241A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</w:pPr>
    </w:p>
    <w:p w:rsidR="0035304F" w:rsidRPr="00C66F6E" w:rsidRDefault="00974E1B" w:rsidP="004241A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 xml:space="preserve">ПРОГРАМА </w:t>
      </w:r>
      <w:r w:rsidR="0035304F" w:rsidRPr="0035304F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(</w:t>
      </w:r>
      <w:r w:rsidR="0035304F" w:rsidRPr="0035304F">
        <w:rPr>
          <w:rFonts w:ascii="Times New Roman" w:hAnsi="Times New Roman" w:cs="Times New Roman"/>
          <w:b/>
          <w:sz w:val="20"/>
          <w:szCs w:val="20"/>
          <w:highlight w:val="yellow"/>
          <w:shd w:val="clear" w:color="auto" w:fill="FFFFFF"/>
          <w:lang w:val="en-US"/>
        </w:rPr>
        <w:t>pdf</w:t>
      </w:r>
      <w:r w:rsidR="0035304F" w:rsidRPr="00C66F6E">
        <w:rPr>
          <w:rFonts w:ascii="Times New Roman" w:hAnsi="Times New Roman" w:cs="Times New Roman"/>
          <w:b/>
          <w:sz w:val="20"/>
          <w:szCs w:val="20"/>
          <w:highlight w:val="yellow"/>
          <w:shd w:val="clear" w:color="auto" w:fill="FFFFFF"/>
        </w:rPr>
        <w:t xml:space="preserve"> </w:t>
      </w:r>
      <w:r w:rsidR="0035304F" w:rsidRPr="0035304F">
        <w:rPr>
          <w:rFonts w:ascii="Times New Roman" w:hAnsi="Times New Roman" w:cs="Times New Roman"/>
          <w:b/>
          <w:sz w:val="20"/>
          <w:szCs w:val="20"/>
          <w:highlight w:val="yellow"/>
          <w:shd w:val="clear" w:color="auto" w:fill="FFFFFF"/>
          <w:lang w:val="en-US"/>
        </w:rPr>
        <w:t>format</w:t>
      </w:r>
      <w:r w:rsidR="0035304F" w:rsidRPr="00C66F6E">
        <w:rPr>
          <w:rFonts w:ascii="Times New Roman" w:hAnsi="Times New Roman" w:cs="Times New Roman"/>
          <w:b/>
          <w:sz w:val="20"/>
          <w:szCs w:val="20"/>
          <w:highlight w:val="yellow"/>
          <w:shd w:val="clear" w:color="auto" w:fill="FFFFFF"/>
        </w:rPr>
        <w:t>)</w:t>
      </w:r>
    </w:p>
    <w:p w:rsidR="00F514BD" w:rsidRPr="00A07233" w:rsidRDefault="00F27A1E" w:rsidP="00A07233">
      <w:pPr>
        <w:pStyle w:val="a3"/>
        <w:jc w:val="both"/>
        <w:rPr>
          <w:sz w:val="26"/>
          <w:szCs w:val="26"/>
          <w:lang w:eastAsia="ru-RU"/>
        </w:rPr>
      </w:pPr>
      <w:r w:rsidRPr="00A07233">
        <w:rPr>
          <w:b/>
          <w:color w:val="1F3864" w:themeColor="accent5" w:themeShade="80"/>
          <w:sz w:val="26"/>
          <w:szCs w:val="26"/>
        </w:rPr>
        <w:t>До участі запрошуються</w:t>
      </w:r>
      <w:r w:rsidRPr="00A07233">
        <w:rPr>
          <w:color w:val="1F3864" w:themeColor="accent5" w:themeShade="80"/>
          <w:sz w:val="26"/>
          <w:szCs w:val="26"/>
        </w:rPr>
        <w:t xml:space="preserve"> </w:t>
      </w:r>
      <w:r w:rsidR="00A07233" w:rsidRPr="00A07233">
        <w:rPr>
          <w:sz w:val="26"/>
          <w:szCs w:val="26"/>
          <w:lang w:eastAsia="ru-RU"/>
        </w:rPr>
        <w:t xml:space="preserve">заявників лікарських засобів, спеціалістів з регуляторних питань, </w:t>
      </w:r>
      <w:r w:rsidR="00A07233" w:rsidRPr="004241A4">
        <w:rPr>
          <w:sz w:val="26"/>
          <w:szCs w:val="26"/>
        </w:rPr>
        <w:t>фахівців фармацевтичної галузі</w:t>
      </w:r>
      <w:r w:rsidR="00A07233" w:rsidRPr="00A07233">
        <w:rPr>
          <w:sz w:val="26"/>
          <w:szCs w:val="26"/>
          <w:lang w:eastAsia="ru-RU"/>
        </w:rPr>
        <w:t xml:space="preserve">, </w:t>
      </w:r>
      <w:r w:rsidR="00A07233" w:rsidRPr="004241A4">
        <w:rPr>
          <w:sz w:val="26"/>
          <w:szCs w:val="26"/>
        </w:rPr>
        <w:t>представників закл</w:t>
      </w:r>
      <w:r w:rsidR="00A07233">
        <w:rPr>
          <w:sz w:val="26"/>
          <w:szCs w:val="26"/>
        </w:rPr>
        <w:t>адів охорони здоров’я,</w:t>
      </w:r>
      <w:r w:rsidR="00A07233" w:rsidRPr="004241A4">
        <w:rPr>
          <w:sz w:val="26"/>
          <w:szCs w:val="26"/>
        </w:rPr>
        <w:t xml:space="preserve"> наукових установ</w:t>
      </w:r>
      <w:r w:rsidR="00A07233">
        <w:rPr>
          <w:sz w:val="26"/>
          <w:szCs w:val="26"/>
          <w:lang w:eastAsia="ru-RU"/>
        </w:rPr>
        <w:t xml:space="preserve">, </w:t>
      </w:r>
      <w:r w:rsidR="00A07233" w:rsidRPr="00A07233">
        <w:rPr>
          <w:sz w:val="26"/>
          <w:szCs w:val="26"/>
          <w:lang w:eastAsia="ru-RU"/>
        </w:rPr>
        <w:t>а та</w:t>
      </w:r>
      <w:r w:rsidR="00A07233">
        <w:rPr>
          <w:sz w:val="26"/>
          <w:szCs w:val="26"/>
          <w:lang w:eastAsia="ru-RU"/>
        </w:rPr>
        <w:t xml:space="preserve">кож інших зацікавлених сторін - </w:t>
      </w:r>
      <w:r w:rsidR="00A07233" w:rsidRPr="00A07233">
        <w:rPr>
          <w:sz w:val="26"/>
          <w:szCs w:val="26"/>
          <w:lang w:eastAsia="ru-RU"/>
        </w:rPr>
        <w:t>викона</w:t>
      </w:r>
      <w:r w:rsidR="00A07233">
        <w:rPr>
          <w:sz w:val="26"/>
          <w:szCs w:val="26"/>
          <w:lang w:eastAsia="ru-RU"/>
        </w:rPr>
        <w:t>вців та</w:t>
      </w:r>
      <w:r w:rsidR="00A07233" w:rsidRPr="00A07233">
        <w:rPr>
          <w:sz w:val="26"/>
          <w:szCs w:val="26"/>
          <w:lang w:eastAsia="ru-RU"/>
        </w:rPr>
        <w:t xml:space="preserve"> користувачів ОМТ.</w:t>
      </w:r>
      <w:r w:rsidR="00A07233" w:rsidRPr="00A07233">
        <w:rPr>
          <w:color w:val="1F3864" w:themeColor="accent5" w:themeShade="80"/>
          <w:sz w:val="26"/>
          <w:szCs w:val="26"/>
        </w:rPr>
        <w:t xml:space="preserve"> </w:t>
      </w:r>
    </w:p>
    <w:p w:rsidR="00F27A1E" w:rsidRDefault="00F27A1E" w:rsidP="004241A4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6"/>
          <w:szCs w:val="26"/>
        </w:rPr>
      </w:pPr>
      <w:r w:rsidRPr="00F27A1E">
        <w:rPr>
          <w:rFonts w:ascii="Times New Roman" w:hAnsi="Times New Roman" w:cs="Times New Roman"/>
          <w:b/>
          <w:color w:val="1F3864" w:themeColor="accent5" w:themeShade="80"/>
          <w:sz w:val="26"/>
          <w:szCs w:val="26"/>
        </w:rPr>
        <w:t>Формат:</w:t>
      </w:r>
      <w:r w:rsidRPr="00F27A1E">
        <w:rPr>
          <w:rFonts w:ascii="Times New Roman" w:hAnsi="Times New Roman" w:cs="Times New Roman"/>
          <w:b/>
          <w:color w:val="2F5496" w:themeColor="accent5" w:themeShade="BF"/>
          <w:sz w:val="26"/>
          <w:szCs w:val="26"/>
        </w:rPr>
        <w:t xml:space="preserve">   </w:t>
      </w:r>
      <w:r w:rsidR="008D4268">
        <w:rPr>
          <w:rStyle w:val="a5"/>
          <w:rFonts w:ascii="Times New Roman" w:hAnsi="Times New Roman" w:cs="Times New Roman"/>
          <w:b w:val="0"/>
          <w:sz w:val="26"/>
          <w:szCs w:val="26"/>
        </w:rPr>
        <w:t>Оф</w:t>
      </w:r>
      <w:r w:rsidRPr="00F27A1E">
        <w:rPr>
          <w:rStyle w:val="a5"/>
          <w:rFonts w:ascii="Times New Roman" w:hAnsi="Times New Roman" w:cs="Times New Roman"/>
          <w:b w:val="0"/>
          <w:sz w:val="26"/>
          <w:szCs w:val="26"/>
        </w:rPr>
        <w:t>лайн</w:t>
      </w:r>
    </w:p>
    <w:p w:rsidR="00F514BD" w:rsidRPr="00F27A1E" w:rsidRDefault="00F514BD" w:rsidP="004241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D4268" w:rsidRDefault="00F27A1E" w:rsidP="004241A4">
      <w:pPr>
        <w:pStyle w:val="a3"/>
        <w:numPr>
          <w:ilvl w:val="0"/>
          <w:numId w:val="36"/>
        </w:numPr>
        <w:spacing w:before="0" w:beforeAutospacing="0" w:after="0" w:afterAutospacing="0"/>
        <w:jc w:val="both"/>
        <w:rPr>
          <w:sz w:val="26"/>
          <w:szCs w:val="26"/>
        </w:rPr>
      </w:pPr>
      <w:r>
        <w:rPr>
          <w:color w:val="1F3864" w:themeColor="accent5" w:themeShade="80"/>
          <w:sz w:val="26"/>
          <w:szCs w:val="26"/>
        </w:rPr>
        <w:t>С</w:t>
      </w:r>
      <w:r w:rsidRPr="00F27A1E">
        <w:rPr>
          <w:rStyle w:val="a5"/>
          <w:color w:val="1F3864" w:themeColor="accent5" w:themeShade="80"/>
          <w:sz w:val="26"/>
          <w:szCs w:val="26"/>
        </w:rPr>
        <w:t xml:space="preserve">ертифікат: </w:t>
      </w:r>
      <w:r w:rsidR="00B8457B">
        <w:rPr>
          <w:sz w:val="26"/>
          <w:szCs w:val="26"/>
        </w:rPr>
        <w:t>Після участі у семінарі</w:t>
      </w:r>
      <w:r w:rsidRPr="00F27A1E">
        <w:rPr>
          <w:sz w:val="26"/>
          <w:szCs w:val="26"/>
        </w:rPr>
        <w:t xml:space="preserve"> к</w:t>
      </w:r>
      <w:r w:rsidR="00B8457B">
        <w:rPr>
          <w:sz w:val="26"/>
          <w:szCs w:val="26"/>
        </w:rPr>
        <w:t>ожен учасник отримає сертифікат.</w:t>
      </w:r>
      <w:r w:rsidRPr="00F27A1E">
        <w:rPr>
          <w:sz w:val="26"/>
          <w:szCs w:val="26"/>
        </w:rPr>
        <w:t xml:space="preserve"> </w:t>
      </w:r>
    </w:p>
    <w:p w:rsidR="008D4268" w:rsidRDefault="008D4268" w:rsidP="004241A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F27A1E" w:rsidRPr="00D37E8A" w:rsidRDefault="008D4268" w:rsidP="004241A4">
      <w:pPr>
        <w:pStyle w:val="a3"/>
        <w:numPr>
          <w:ilvl w:val="0"/>
          <w:numId w:val="33"/>
        </w:numPr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D37E8A">
        <w:rPr>
          <w:b/>
          <w:color w:val="1F3864" w:themeColor="accent5" w:themeShade="80"/>
          <w:sz w:val="26"/>
          <w:szCs w:val="26"/>
        </w:rPr>
        <w:t>Презентаційно</w:t>
      </w:r>
      <w:proofErr w:type="spellEnd"/>
      <w:r w:rsidRPr="00D37E8A">
        <w:rPr>
          <w:b/>
          <w:color w:val="1F3864" w:themeColor="accent5" w:themeShade="80"/>
          <w:sz w:val="26"/>
          <w:szCs w:val="26"/>
        </w:rPr>
        <w:t>-інформаці</w:t>
      </w:r>
      <w:bookmarkStart w:id="0" w:name="_GoBack"/>
      <w:bookmarkEnd w:id="0"/>
      <w:r w:rsidRPr="00D37E8A">
        <w:rPr>
          <w:b/>
          <w:color w:val="1F3864" w:themeColor="accent5" w:themeShade="80"/>
          <w:sz w:val="26"/>
          <w:szCs w:val="26"/>
        </w:rPr>
        <w:t>йні</w:t>
      </w:r>
      <w:r w:rsidR="00F27A1E" w:rsidRPr="00D37E8A">
        <w:rPr>
          <w:b/>
          <w:color w:val="1F3864" w:themeColor="accent5" w:themeShade="80"/>
          <w:sz w:val="26"/>
          <w:szCs w:val="26"/>
        </w:rPr>
        <w:t xml:space="preserve"> матеріали</w:t>
      </w:r>
      <w:r w:rsidR="00B8457B" w:rsidRPr="00D37E8A">
        <w:rPr>
          <w:b/>
          <w:color w:val="1F3864" w:themeColor="accent5" w:themeShade="80"/>
          <w:sz w:val="26"/>
          <w:szCs w:val="26"/>
        </w:rPr>
        <w:t>:</w:t>
      </w:r>
      <w:r w:rsidR="00F27A1E" w:rsidRPr="00D37E8A">
        <w:rPr>
          <w:color w:val="1F3864" w:themeColor="accent5" w:themeShade="80"/>
          <w:sz w:val="26"/>
          <w:szCs w:val="26"/>
        </w:rPr>
        <w:t xml:space="preserve"> </w:t>
      </w:r>
      <w:r w:rsidR="00F27A1E" w:rsidRPr="00D37E8A">
        <w:rPr>
          <w:sz w:val="26"/>
          <w:szCs w:val="26"/>
        </w:rPr>
        <w:t xml:space="preserve">доступні для слухачів </w:t>
      </w:r>
      <w:r w:rsidR="00B8457B" w:rsidRPr="00D37E8A">
        <w:rPr>
          <w:sz w:val="26"/>
          <w:szCs w:val="26"/>
        </w:rPr>
        <w:t>під час заходу/</w:t>
      </w:r>
      <w:r w:rsidR="00F27A1E" w:rsidRPr="00D37E8A">
        <w:rPr>
          <w:sz w:val="26"/>
          <w:szCs w:val="26"/>
        </w:rPr>
        <w:t>за запитом.</w:t>
      </w:r>
    </w:p>
    <w:p w:rsidR="00F27A1E" w:rsidRDefault="00F27A1E" w:rsidP="004241A4">
      <w:pPr>
        <w:spacing w:after="0" w:line="240" w:lineRule="auto"/>
        <w:rPr>
          <w:sz w:val="20"/>
          <w:szCs w:val="20"/>
        </w:rPr>
      </w:pPr>
    </w:p>
    <w:p w:rsidR="00F27A1E" w:rsidRPr="0035304F" w:rsidRDefault="00F27A1E" w:rsidP="004241A4">
      <w:pPr>
        <w:pStyle w:val="3"/>
        <w:spacing w:before="0" w:line="240" w:lineRule="auto"/>
        <w:rPr>
          <w:rFonts w:ascii="Times New Roman" w:hAnsi="Times New Roman" w:cs="Times New Roman"/>
          <w:b/>
          <w:color w:val="1F3864" w:themeColor="accent5" w:themeShade="80"/>
          <w:sz w:val="26"/>
          <w:szCs w:val="26"/>
        </w:rPr>
      </w:pPr>
      <w:r w:rsidRPr="0035304F">
        <w:rPr>
          <w:rFonts w:ascii="Times New Roman" w:hAnsi="Times New Roman" w:cs="Times New Roman"/>
          <w:b/>
          <w:color w:val="1F3864" w:themeColor="accent5" w:themeShade="80"/>
          <w:sz w:val="26"/>
          <w:szCs w:val="26"/>
        </w:rPr>
        <w:t>Реєстрація</w:t>
      </w:r>
    </w:p>
    <w:p w:rsidR="00F27A1E" w:rsidRPr="00B8457B" w:rsidRDefault="00F27A1E" w:rsidP="004241A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B8457B">
        <w:rPr>
          <w:sz w:val="26"/>
          <w:szCs w:val="26"/>
        </w:rPr>
        <w:t xml:space="preserve">Для участі необхідно </w:t>
      </w:r>
      <w:r w:rsidRPr="00B8457B">
        <w:rPr>
          <w:rStyle w:val="a5"/>
          <w:color w:val="1F3864" w:themeColor="accent5" w:themeShade="80"/>
          <w:sz w:val="26"/>
          <w:szCs w:val="26"/>
        </w:rPr>
        <w:t>заповнити заяву</w:t>
      </w:r>
      <w:r w:rsidRPr="00B8457B">
        <w:rPr>
          <w:color w:val="1F3864" w:themeColor="accent5" w:themeShade="80"/>
          <w:sz w:val="26"/>
          <w:szCs w:val="26"/>
        </w:rPr>
        <w:t xml:space="preserve"> </w:t>
      </w:r>
      <w:r w:rsidRPr="00B8457B">
        <w:rPr>
          <w:sz w:val="26"/>
          <w:szCs w:val="26"/>
        </w:rPr>
        <w:t>(</w:t>
      </w:r>
      <w:r w:rsidRPr="00B8457B">
        <w:rPr>
          <w:sz w:val="26"/>
          <w:szCs w:val="26"/>
          <w:highlight w:val="yellow"/>
        </w:rPr>
        <w:t>форма за посиланням</w:t>
      </w:r>
      <w:r w:rsidRPr="00B8457B">
        <w:rPr>
          <w:sz w:val="26"/>
          <w:szCs w:val="26"/>
        </w:rPr>
        <w:t xml:space="preserve">) та надіслати її </w:t>
      </w:r>
      <w:r w:rsidR="0035304F" w:rsidRPr="00B8457B">
        <w:rPr>
          <w:sz w:val="26"/>
          <w:szCs w:val="26"/>
          <w:shd w:val="clear" w:color="auto" w:fill="FFFFFF"/>
        </w:rPr>
        <w:t xml:space="preserve">в електронному вигляді </w:t>
      </w:r>
      <w:r w:rsidRPr="008D4268">
        <w:rPr>
          <w:b/>
          <w:sz w:val="26"/>
          <w:szCs w:val="26"/>
        </w:rPr>
        <w:t>у форматі</w:t>
      </w:r>
      <w:r w:rsidRPr="00B8457B">
        <w:rPr>
          <w:sz w:val="26"/>
          <w:szCs w:val="26"/>
        </w:rPr>
        <w:t xml:space="preserve"> </w:t>
      </w:r>
      <w:r w:rsidRPr="00B8457B">
        <w:rPr>
          <w:rStyle w:val="a5"/>
          <w:sz w:val="26"/>
          <w:szCs w:val="26"/>
        </w:rPr>
        <w:t>.</w:t>
      </w:r>
      <w:proofErr w:type="spellStart"/>
      <w:r w:rsidRPr="00B8457B">
        <w:rPr>
          <w:rStyle w:val="a5"/>
          <w:sz w:val="26"/>
          <w:szCs w:val="26"/>
        </w:rPr>
        <w:t>doc</w:t>
      </w:r>
      <w:proofErr w:type="spellEnd"/>
      <w:r w:rsidRPr="00B8457B">
        <w:rPr>
          <w:rStyle w:val="a5"/>
          <w:sz w:val="26"/>
          <w:szCs w:val="26"/>
        </w:rPr>
        <w:t xml:space="preserve"> / .</w:t>
      </w:r>
      <w:proofErr w:type="spellStart"/>
      <w:r w:rsidRPr="00B8457B">
        <w:rPr>
          <w:rStyle w:val="a5"/>
          <w:sz w:val="26"/>
          <w:szCs w:val="26"/>
        </w:rPr>
        <w:t>docx</w:t>
      </w:r>
      <w:proofErr w:type="spellEnd"/>
      <w:r w:rsidRPr="00B8457B">
        <w:rPr>
          <w:sz w:val="26"/>
          <w:szCs w:val="26"/>
        </w:rPr>
        <w:t xml:space="preserve"> на адресу</w:t>
      </w:r>
      <w:r w:rsidR="00512310" w:rsidRPr="00B8457B">
        <w:rPr>
          <w:sz w:val="26"/>
          <w:szCs w:val="26"/>
        </w:rPr>
        <w:t xml:space="preserve"> Агенції методологічної та науково-практичної роботи</w:t>
      </w:r>
      <w:r w:rsidRPr="00B8457B">
        <w:rPr>
          <w:sz w:val="26"/>
          <w:szCs w:val="26"/>
        </w:rPr>
        <w:t xml:space="preserve">: </w:t>
      </w:r>
      <w:hyperlink r:id="rId5" w:history="1">
        <w:r w:rsidR="0035304F" w:rsidRPr="00B8457B">
          <w:rPr>
            <w:rStyle w:val="a4"/>
            <w:sz w:val="26"/>
            <w:szCs w:val="26"/>
          </w:rPr>
          <w:t>amsw@dec.gov.ua</w:t>
        </w:r>
      </w:hyperlink>
      <w:r w:rsidR="0035304F" w:rsidRPr="00B8457B">
        <w:rPr>
          <w:sz w:val="26"/>
          <w:szCs w:val="26"/>
        </w:rPr>
        <w:t xml:space="preserve"> .</w:t>
      </w:r>
    </w:p>
    <w:p w:rsidR="004241A4" w:rsidRDefault="004241A4" w:rsidP="004241A4">
      <w:pPr>
        <w:pStyle w:val="3"/>
        <w:spacing w:before="0" w:line="240" w:lineRule="auto"/>
        <w:rPr>
          <w:rFonts w:ascii="Times New Roman" w:hAnsi="Times New Roman" w:cs="Times New Roman"/>
          <w:b/>
          <w:color w:val="1F3864" w:themeColor="accent5" w:themeShade="80"/>
          <w:sz w:val="26"/>
          <w:szCs w:val="26"/>
        </w:rPr>
      </w:pPr>
    </w:p>
    <w:p w:rsidR="0035304F" w:rsidRPr="0035304F" w:rsidRDefault="0035304F" w:rsidP="004241A4">
      <w:pPr>
        <w:pStyle w:val="3"/>
        <w:spacing w:before="0" w:line="240" w:lineRule="auto"/>
        <w:rPr>
          <w:rFonts w:ascii="Times New Roman" w:hAnsi="Times New Roman" w:cs="Times New Roman"/>
          <w:b/>
          <w:color w:val="1F3864" w:themeColor="accent5" w:themeShade="80"/>
          <w:sz w:val="26"/>
          <w:szCs w:val="26"/>
        </w:rPr>
      </w:pPr>
      <w:r w:rsidRPr="0035304F">
        <w:rPr>
          <w:rFonts w:ascii="Times New Roman" w:hAnsi="Times New Roman" w:cs="Times New Roman"/>
          <w:b/>
          <w:color w:val="1F3864" w:themeColor="accent5" w:themeShade="80"/>
          <w:sz w:val="26"/>
          <w:szCs w:val="26"/>
        </w:rPr>
        <w:t>Контактна особа</w:t>
      </w:r>
    </w:p>
    <w:p w:rsidR="00856AA8" w:rsidRDefault="00856AA8" w:rsidP="004241A4">
      <w:pPr>
        <w:pStyle w:val="a3"/>
        <w:spacing w:before="0" w:beforeAutospacing="0" w:after="0" w:afterAutospacing="0"/>
      </w:pPr>
      <w:r>
        <w:rPr>
          <w:rStyle w:val="a5"/>
          <w:sz w:val="26"/>
          <w:szCs w:val="26"/>
        </w:rPr>
        <w:t>Єфремова Валерія В</w:t>
      </w:r>
      <w:r w:rsidRPr="00856AA8">
        <w:rPr>
          <w:rStyle w:val="a5"/>
          <w:sz w:val="26"/>
          <w:szCs w:val="26"/>
        </w:rPr>
        <w:t>’</w:t>
      </w:r>
      <w:r>
        <w:rPr>
          <w:rStyle w:val="a5"/>
          <w:sz w:val="26"/>
          <w:szCs w:val="26"/>
        </w:rPr>
        <w:t xml:space="preserve">ячеславівна, </w:t>
      </w:r>
      <w:r w:rsidR="0035304F" w:rsidRPr="00B8457B">
        <w:rPr>
          <w:sz w:val="26"/>
          <w:szCs w:val="26"/>
        </w:rPr>
        <w:t>провідний фахівець Агенції методологічної та науково-практичної роботи</w:t>
      </w:r>
      <w:r w:rsidR="0035304F" w:rsidRPr="00B8457B">
        <w:rPr>
          <w:sz w:val="26"/>
          <w:szCs w:val="26"/>
        </w:rPr>
        <w:br/>
      </w:r>
      <w:proofErr w:type="spellStart"/>
      <w:r w:rsidR="0035304F" w:rsidRPr="00B8457B">
        <w:rPr>
          <w:sz w:val="26"/>
          <w:szCs w:val="26"/>
        </w:rPr>
        <w:t>тел</w:t>
      </w:r>
      <w:proofErr w:type="spellEnd"/>
      <w:r w:rsidR="0035304F" w:rsidRPr="00B8457B">
        <w:rPr>
          <w:sz w:val="26"/>
          <w:szCs w:val="26"/>
        </w:rPr>
        <w:t>.: +38 (044) 202-17-00 (2251)</w:t>
      </w:r>
      <w:r w:rsidR="0035304F" w:rsidRPr="00B8457B">
        <w:rPr>
          <w:sz w:val="26"/>
          <w:szCs w:val="26"/>
        </w:rPr>
        <w:br/>
        <w:t>e-</w:t>
      </w:r>
      <w:proofErr w:type="spellStart"/>
      <w:r w:rsidR="0035304F" w:rsidRPr="00B8457B">
        <w:rPr>
          <w:sz w:val="26"/>
          <w:szCs w:val="26"/>
        </w:rPr>
        <w:t>mail</w:t>
      </w:r>
      <w:proofErr w:type="spellEnd"/>
      <w:r w:rsidR="0035304F" w:rsidRPr="00B8457B">
        <w:rPr>
          <w:sz w:val="26"/>
          <w:szCs w:val="26"/>
        </w:rPr>
        <w:t xml:space="preserve">: </w:t>
      </w:r>
      <w:hyperlink r:id="rId6" w:history="1">
        <w:r w:rsidRPr="005D3D0F">
          <w:rPr>
            <w:rStyle w:val="a4"/>
            <w:sz w:val="26"/>
            <w:szCs w:val="26"/>
          </w:rPr>
          <w:t>yefremova@dec.gov.ua</w:t>
        </w:r>
      </w:hyperlink>
    </w:p>
    <w:p w:rsidR="004241A4" w:rsidRDefault="004241A4" w:rsidP="004241A4">
      <w:pPr>
        <w:pStyle w:val="a3"/>
        <w:spacing w:before="0" w:beforeAutospacing="0" w:after="0" w:afterAutospacing="0"/>
        <w:rPr>
          <w:b/>
          <w:color w:val="1F3864" w:themeColor="accent5" w:themeShade="80"/>
          <w:sz w:val="26"/>
          <w:szCs w:val="26"/>
        </w:rPr>
      </w:pPr>
    </w:p>
    <w:p w:rsidR="00512310" w:rsidRPr="004241A4" w:rsidRDefault="00F27A1E" w:rsidP="004241A4">
      <w:pPr>
        <w:pStyle w:val="a3"/>
        <w:spacing w:before="0" w:beforeAutospacing="0" w:after="0" w:afterAutospacing="0"/>
        <w:rPr>
          <w:b/>
          <w:color w:val="1F3864" w:themeColor="accent5" w:themeShade="80"/>
          <w:sz w:val="26"/>
          <w:szCs w:val="26"/>
        </w:rPr>
      </w:pPr>
      <w:r w:rsidRPr="0035304F">
        <w:rPr>
          <w:b/>
          <w:color w:val="1F3864" w:themeColor="accent5" w:themeShade="80"/>
          <w:sz w:val="26"/>
          <w:szCs w:val="26"/>
        </w:rPr>
        <w:t>Додаткова інформація</w:t>
      </w:r>
    </w:p>
    <w:p w:rsidR="008D4268" w:rsidRDefault="00B8457B" w:rsidP="004241A4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Семінар</w:t>
      </w:r>
      <w:r w:rsidR="00F27A1E" w:rsidRPr="00512310">
        <w:rPr>
          <w:b/>
          <w:sz w:val="26"/>
          <w:szCs w:val="26"/>
        </w:rPr>
        <w:t xml:space="preserve"> </w:t>
      </w:r>
      <w:r w:rsidR="00F27A1E" w:rsidRPr="00512310">
        <w:rPr>
          <w:sz w:val="26"/>
          <w:szCs w:val="26"/>
        </w:rPr>
        <w:t xml:space="preserve">відбудеться </w:t>
      </w:r>
      <w:r w:rsidR="00512310" w:rsidRPr="00512310">
        <w:rPr>
          <w:sz w:val="26"/>
          <w:szCs w:val="26"/>
        </w:rPr>
        <w:t>на виконання</w:t>
      </w:r>
      <w:r w:rsidR="00F27A1E" w:rsidRPr="00512310">
        <w:rPr>
          <w:sz w:val="26"/>
          <w:szCs w:val="26"/>
        </w:rPr>
        <w:t xml:space="preserve"> </w:t>
      </w:r>
      <w:r w:rsidR="00F27A1E" w:rsidRPr="00512310">
        <w:rPr>
          <w:rStyle w:val="a5"/>
          <w:color w:val="1F3864" w:themeColor="accent5" w:themeShade="80"/>
          <w:sz w:val="26"/>
          <w:szCs w:val="26"/>
        </w:rPr>
        <w:t xml:space="preserve">Плану </w:t>
      </w:r>
      <w:r w:rsidR="00512310" w:rsidRPr="00512310">
        <w:rPr>
          <w:rStyle w:val="a5"/>
          <w:color w:val="1F3864" w:themeColor="accent5" w:themeShade="80"/>
          <w:sz w:val="26"/>
          <w:szCs w:val="26"/>
        </w:rPr>
        <w:t xml:space="preserve">зовнішніх </w:t>
      </w:r>
      <w:r w:rsidR="00F27A1E" w:rsidRPr="00512310">
        <w:rPr>
          <w:rStyle w:val="a5"/>
          <w:color w:val="1F3864" w:themeColor="accent5" w:themeShade="80"/>
          <w:sz w:val="26"/>
          <w:szCs w:val="26"/>
        </w:rPr>
        <w:t xml:space="preserve">навчальних заходів </w:t>
      </w:r>
      <w:r w:rsidR="00512310" w:rsidRPr="00512310">
        <w:rPr>
          <w:rStyle w:val="a5"/>
          <w:color w:val="1F3864" w:themeColor="accent5" w:themeShade="80"/>
          <w:sz w:val="26"/>
          <w:szCs w:val="26"/>
        </w:rPr>
        <w:t xml:space="preserve">Державного експертного центру МОЗ України </w:t>
      </w:r>
      <w:r w:rsidR="00F27A1E" w:rsidRPr="00512310">
        <w:rPr>
          <w:rStyle w:val="a5"/>
          <w:color w:val="1F3864" w:themeColor="accent5" w:themeShade="80"/>
          <w:sz w:val="26"/>
          <w:szCs w:val="26"/>
        </w:rPr>
        <w:t>на 2026 рік</w:t>
      </w:r>
      <w:r w:rsidR="009C6CB8" w:rsidRPr="009C6CB8">
        <w:t xml:space="preserve"> </w:t>
      </w:r>
      <w:hyperlink r:id="rId7" w:history="1">
        <w:r w:rsidR="009C6CB8" w:rsidRPr="004276DD">
          <w:rPr>
            <w:rStyle w:val="a4"/>
            <w:sz w:val="26"/>
            <w:szCs w:val="26"/>
          </w:rPr>
          <w:t>https://www.dec.gov.ua/materials/plan-zovnishnih-navchalnyh-zahodiv-derzhavnogo-ekspertnogo-czentru-moz-ukrayiny-na-2026-rik/</w:t>
        </w:r>
      </w:hyperlink>
      <w:r w:rsidR="009C6CB8">
        <w:rPr>
          <w:rStyle w:val="a5"/>
          <w:color w:val="1F3864" w:themeColor="accent5" w:themeShade="80"/>
          <w:sz w:val="26"/>
          <w:szCs w:val="26"/>
        </w:rPr>
        <w:t xml:space="preserve"> </w:t>
      </w:r>
      <w:r w:rsidR="00F27A1E" w:rsidRPr="00512310">
        <w:rPr>
          <w:sz w:val="26"/>
          <w:szCs w:val="26"/>
        </w:rPr>
        <w:t xml:space="preserve">, розробленого з метою </w:t>
      </w:r>
      <w:r w:rsidR="00512310" w:rsidRPr="00512310">
        <w:rPr>
          <w:color w:val="000000"/>
          <w:sz w:val="26"/>
          <w:szCs w:val="26"/>
        </w:rPr>
        <w:t xml:space="preserve">підвищення рівня професійної обізнаності, </w:t>
      </w:r>
      <w:r w:rsidR="00512310" w:rsidRPr="00512310">
        <w:rPr>
          <w:sz w:val="26"/>
          <w:szCs w:val="26"/>
          <w:lang w:eastAsia="ru-RU"/>
        </w:rPr>
        <w:t xml:space="preserve">розвитку ключових компетенцій, </w:t>
      </w:r>
      <w:r w:rsidR="00512310" w:rsidRPr="00512310">
        <w:rPr>
          <w:color w:val="000000"/>
          <w:sz w:val="26"/>
          <w:szCs w:val="26"/>
        </w:rPr>
        <w:t xml:space="preserve">поширення кращих практик та підтримки сталого розвитку у сфері охорони здоров’я </w:t>
      </w:r>
      <w:r w:rsidR="00512310" w:rsidRPr="00512310">
        <w:rPr>
          <w:sz w:val="26"/>
          <w:szCs w:val="26"/>
          <w:lang w:eastAsia="ru-RU"/>
        </w:rPr>
        <w:t>з урахуванням змін у системі, актуальних потреб, викликів та очікувань зовнішніх зацікавлених сторін</w:t>
      </w:r>
      <w:r w:rsidR="00512310" w:rsidRPr="00512310">
        <w:rPr>
          <w:color w:val="000000"/>
          <w:sz w:val="26"/>
          <w:szCs w:val="26"/>
        </w:rPr>
        <w:t xml:space="preserve">. </w:t>
      </w:r>
      <w:r w:rsidR="00512310" w:rsidRPr="00512310">
        <w:rPr>
          <w:sz w:val="26"/>
          <w:szCs w:val="26"/>
        </w:rPr>
        <w:t xml:space="preserve">Навчальні заходи Центру спрямовано </w:t>
      </w:r>
      <w:r w:rsidR="00F27A1E" w:rsidRPr="00512310">
        <w:rPr>
          <w:sz w:val="26"/>
          <w:szCs w:val="26"/>
        </w:rPr>
        <w:t>на поширення актуальних знань і підтримку ефективної взаємодії у фармацевтичній та медичній галузях відповідно до статутних завдань Центру.</w:t>
      </w:r>
      <w:r w:rsidR="00512310" w:rsidRPr="00512310">
        <w:rPr>
          <w:color w:val="000000"/>
          <w:sz w:val="26"/>
          <w:szCs w:val="26"/>
        </w:rPr>
        <w:t xml:space="preserve"> План передбачає серію навчальних подій у різних форматах — від семінарів-практикумів до спеціалізованих тематичних </w:t>
      </w:r>
      <w:proofErr w:type="spellStart"/>
      <w:r w:rsidR="00512310" w:rsidRPr="00512310">
        <w:rPr>
          <w:color w:val="000000"/>
          <w:sz w:val="26"/>
          <w:szCs w:val="26"/>
        </w:rPr>
        <w:t>вебінар</w:t>
      </w:r>
      <w:r w:rsidR="00512310">
        <w:rPr>
          <w:color w:val="000000"/>
          <w:sz w:val="26"/>
          <w:szCs w:val="26"/>
        </w:rPr>
        <w:t>ів</w:t>
      </w:r>
      <w:proofErr w:type="spellEnd"/>
      <w:r w:rsidR="00512310">
        <w:rPr>
          <w:color w:val="000000"/>
          <w:sz w:val="26"/>
          <w:szCs w:val="26"/>
        </w:rPr>
        <w:t>, у форматах онлайн та офлайн.</w:t>
      </w:r>
    </w:p>
    <w:p w:rsidR="00512310" w:rsidRPr="00512310" w:rsidRDefault="00512310" w:rsidP="004241A4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  <w:highlight w:val="yellow"/>
        </w:rPr>
      </w:pPr>
      <w:r w:rsidRPr="00512310">
        <w:rPr>
          <w:color w:val="000000"/>
          <w:sz w:val="26"/>
          <w:szCs w:val="26"/>
        </w:rPr>
        <w:t xml:space="preserve"> </w:t>
      </w:r>
    </w:p>
    <w:p w:rsidR="00512310" w:rsidRPr="0035304F" w:rsidRDefault="00512310" w:rsidP="004241A4">
      <w:pPr>
        <w:pStyle w:val="3"/>
        <w:spacing w:before="0" w:line="240" w:lineRule="auto"/>
        <w:rPr>
          <w:rFonts w:ascii="Times New Roman" w:hAnsi="Times New Roman" w:cs="Times New Roman"/>
          <w:b/>
          <w:color w:val="1F3864" w:themeColor="accent5" w:themeShade="80"/>
          <w:sz w:val="26"/>
          <w:szCs w:val="26"/>
        </w:rPr>
      </w:pPr>
      <w:r w:rsidRPr="0035304F">
        <w:rPr>
          <w:rFonts w:ascii="Times New Roman" w:hAnsi="Times New Roman" w:cs="Times New Roman"/>
          <w:b/>
          <w:color w:val="1F3864" w:themeColor="accent5" w:themeShade="80"/>
          <w:sz w:val="26"/>
          <w:szCs w:val="26"/>
        </w:rPr>
        <w:t>Контакти</w:t>
      </w:r>
    </w:p>
    <w:p w:rsidR="00512310" w:rsidRPr="008D4268" w:rsidRDefault="00512310" w:rsidP="004241A4">
      <w:pPr>
        <w:pStyle w:val="a3"/>
        <w:spacing w:before="0" w:beforeAutospacing="0" w:after="0" w:afterAutospacing="0"/>
        <w:rPr>
          <w:sz w:val="26"/>
          <w:szCs w:val="26"/>
        </w:rPr>
      </w:pPr>
      <w:r w:rsidRPr="008D4268">
        <w:rPr>
          <w:sz w:val="26"/>
          <w:szCs w:val="26"/>
        </w:rPr>
        <w:t>Агенція методологічної та науково-практичної роботи</w:t>
      </w:r>
      <w:r w:rsidRPr="008D4268">
        <w:rPr>
          <w:sz w:val="26"/>
          <w:szCs w:val="26"/>
        </w:rPr>
        <w:br/>
      </w:r>
      <w:proofErr w:type="spellStart"/>
      <w:r w:rsidRPr="008D4268">
        <w:rPr>
          <w:sz w:val="26"/>
          <w:szCs w:val="26"/>
        </w:rPr>
        <w:t>тел</w:t>
      </w:r>
      <w:proofErr w:type="spellEnd"/>
      <w:r w:rsidRPr="008D4268">
        <w:rPr>
          <w:sz w:val="26"/>
          <w:szCs w:val="26"/>
        </w:rPr>
        <w:t>.: +38 (044) 202-17-00 (2251)</w:t>
      </w:r>
      <w:r w:rsidRPr="008D4268">
        <w:rPr>
          <w:sz w:val="26"/>
          <w:szCs w:val="26"/>
        </w:rPr>
        <w:br/>
        <w:t>e-</w:t>
      </w:r>
      <w:proofErr w:type="spellStart"/>
      <w:r w:rsidRPr="008D4268">
        <w:rPr>
          <w:sz w:val="26"/>
          <w:szCs w:val="26"/>
        </w:rPr>
        <w:t>mail</w:t>
      </w:r>
      <w:proofErr w:type="spellEnd"/>
      <w:r w:rsidRPr="008D4268">
        <w:rPr>
          <w:sz w:val="26"/>
          <w:szCs w:val="26"/>
        </w:rPr>
        <w:t xml:space="preserve">: </w:t>
      </w:r>
      <w:hyperlink r:id="rId8" w:history="1">
        <w:r w:rsidR="008D4268" w:rsidRPr="004F4C4F">
          <w:rPr>
            <w:rStyle w:val="a4"/>
            <w:sz w:val="26"/>
            <w:szCs w:val="26"/>
          </w:rPr>
          <w:t>amsw@dec.gov.ua</w:t>
        </w:r>
      </w:hyperlink>
      <w:r w:rsidR="008D4268">
        <w:rPr>
          <w:rStyle w:val="a5"/>
          <w:sz w:val="26"/>
          <w:szCs w:val="26"/>
        </w:rPr>
        <w:t xml:space="preserve"> </w:t>
      </w:r>
    </w:p>
    <w:p w:rsidR="00F27A1E" w:rsidRPr="00512310" w:rsidRDefault="00F27A1E" w:rsidP="004241A4">
      <w:pPr>
        <w:pStyle w:val="a3"/>
        <w:spacing w:before="0" w:beforeAutospacing="0" w:after="0" w:afterAutospacing="0"/>
        <w:rPr>
          <w:b/>
          <w:color w:val="1F3864" w:themeColor="accent5" w:themeShade="80"/>
          <w:sz w:val="26"/>
          <w:szCs w:val="26"/>
        </w:rPr>
      </w:pPr>
      <w:r w:rsidRPr="00512310">
        <w:rPr>
          <w:b/>
          <w:color w:val="1F3864" w:themeColor="accent5" w:themeShade="80"/>
          <w:sz w:val="26"/>
          <w:szCs w:val="26"/>
        </w:rPr>
        <w:t>Будемо раді вашій участі та зворотному зв’язку!</w:t>
      </w:r>
    </w:p>
    <w:p w:rsidR="00B8457B" w:rsidRDefault="00B8457B" w:rsidP="002B3E60">
      <w:pPr>
        <w:pStyle w:val="a3"/>
      </w:pPr>
    </w:p>
    <w:sectPr w:rsidR="00B845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27B78"/>
    <w:multiLevelType w:val="multilevel"/>
    <w:tmpl w:val="E9AC2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51E27"/>
    <w:multiLevelType w:val="multilevel"/>
    <w:tmpl w:val="EEE0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C32DE"/>
    <w:multiLevelType w:val="multilevel"/>
    <w:tmpl w:val="3B8A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CD3F5C"/>
    <w:multiLevelType w:val="multilevel"/>
    <w:tmpl w:val="ED0EC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55763"/>
    <w:multiLevelType w:val="multilevel"/>
    <w:tmpl w:val="98687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B329F6"/>
    <w:multiLevelType w:val="hybridMultilevel"/>
    <w:tmpl w:val="E24C32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256B6"/>
    <w:multiLevelType w:val="hybridMultilevel"/>
    <w:tmpl w:val="91AE35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36637"/>
    <w:multiLevelType w:val="multilevel"/>
    <w:tmpl w:val="2F44C9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476B36"/>
    <w:multiLevelType w:val="multilevel"/>
    <w:tmpl w:val="6E06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FA227A"/>
    <w:multiLevelType w:val="hybridMultilevel"/>
    <w:tmpl w:val="9DDA1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44CA6"/>
    <w:multiLevelType w:val="multilevel"/>
    <w:tmpl w:val="8DD2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327BE8"/>
    <w:multiLevelType w:val="multilevel"/>
    <w:tmpl w:val="A6E058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A0377A"/>
    <w:multiLevelType w:val="multilevel"/>
    <w:tmpl w:val="F7E4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E579B1"/>
    <w:multiLevelType w:val="multilevel"/>
    <w:tmpl w:val="9712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CA1FDF"/>
    <w:multiLevelType w:val="multilevel"/>
    <w:tmpl w:val="BEF2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1E031B"/>
    <w:multiLevelType w:val="multilevel"/>
    <w:tmpl w:val="7DA6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B04E01"/>
    <w:multiLevelType w:val="multilevel"/>
    <w:tmpl w:val="A37A1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663A17"/>
    <w:multiLevelType w:val="hybridMultilevel"/>
    <w:tmpl w:val="7332E48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B5DD4"/>
    <w:multiLevelType w:val="multilevel"/>
    <w:tmpl w:val="B008C5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633AE1"/>
    <w:multiLevelType w:val="multilevel"/>
    <w:tmpl w:val="2942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FB1955"/>
    <w:multiLevelType w:val="multilevel"/>
    <w:tmpl w:val="2D02E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C660B9"/>
    <w:multiLevelType w:val="multilevel"/>
    <w:tmpl w:val="E8AA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F96831"/>
    <w:multiLevelType w:val="multilevel"/>
    <w:tmpl w:val="C05066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7315D1"/>
    <w:multiLevelType w:val="multilevel"/>
    <w:tmpl w:val="4CF0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BC4090"/>
    <w:multiLevelType w:val="multilevel"/>
    <w:tmpl w:val="10A4B8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64401E"/>
    <w:multiLevelType w:val="multilevel"/>
    <w:tmpl w:val="1796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583534"/>
    <w:multiLevelType w:val="multilevel"/>
    <w:tmpl w:val="900CB5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572EEF"/>
    <w:multiLevelType w:val="multilevel"/>
    <w:tmpl w:val="84CE3E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DF27EF"/>
    <w:multiLevelType w:val="multilevel"/>
    <w:tmpl w:val="9226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676AC3"/>
    <w:multiLevelType w:val="multilevel"/>
    <w:tmpl w:val="F1F026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0C7935"/>
    <w:multiLevelType w:val="hybridMultilevel"/>
    <w:tmpl w:val="964435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721F1"/>
    <w:multiLevelType w:val="hybridMultilevel"/>
    <w:tmpl w:val="891ED1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832943"/>
    <w:multiLevelType w:val="multilevel"/>
    <w:tmpl w:val="37807B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310256"/>
    <w:multiLevelType w:val="hybridMultilevel"/>
    <w:tmpl w:val="5B729F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B4626"/>
    <w:multiLevelType w:val="multilevel"/>
    <w:tmpl w:val="B05065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8A4457"/>
    <w:multiLevelType w:val="multilevel"/>
    <w:tmpl w:val="108A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D403EC"/>
    <w:multiLevelType w:val="multilevel"/>
    <w:tmpl w:val="4BCC1E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791177"/>
    <w:multiLevelType w:val="multilevel"/>
    <w:tmpl w:val="4EFEC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0"/>
  </w:num>
  <w:num w:numId="3">
    <w:abstractNumId w:val="34"/>
  </w:num>
  <w:num w:numId="4">
    <w:abstractNumId w:val="24"/>
  </w:num>
  <w:num w:numId="5">
    <w:abstractNumId w:val="11"/>
  </w:num>
  <w:num w:numId="6">
    <w:abstractNumId w:val="36"/>
  </w:num>
  <w:num w:numId="7">
    <w:abstractNumId w:val="29"/>
  </w:num>
  <w:num w:numId="8">
    <w:abstractNumId w:val="7"/>
  </w:num>
  <w:num w:numId="9">
    <w:abstractNumId w:val="20"/>
  </w:num>
  <w:num w:numId="10">
    <w:abstractNumId w:val="26"/>
  </w:num>
  <w:num w:numId="11">
    <w:abstractNumId w:val="27"/>
  </w:num>
  <w:num w:numId="12">
    <w:abstractNumId w:val="18"/>
  </w:num>
  <w:num w:numId="13">
    <w:abstractNumId w:val="32"/>
  </w:num>
  <w:num w:numId="14">
    <w:abstractNumId w:val="12"/>
  </w:num>
  <w:num w:numId="15">
    <w:abstractNumId w:val="23"/>
  </w:num>
  <w:num w:numId="16">
    <w:abstractNumId w:val="37"/>
  </w:num>
  <w:num w:numId="17">
    <w:abstractNumId w:val="19"/>
  </w:num>
  <w:num w:numId="18">
    <w:abstractNumId w:val="17"/>
  </w:num>
  <w:num w:numId="19">
    <w:abstractNumId w:val="5"/>
  </w:num>
  <w:num w:numId="20">
    <w:abstractNumId w:val="33"/>
  </w:num>
  <w:num w:numId="21">
    <w:abstractNumId w:val="35"/>
  </w:num>
  <w:num w:numId="22">
    <w:abstractNumId w:val="28"/>
  </w:num>
  <w:num w:numId="23">
    <w:abstractNumId w:val="9"/>
  </w:num>
  <w:num w:numId="24">
    <w:abstractNumId w:val="14"/>
  </w:num>
  <w:num w:numId="25">
    <w:abstractNumId w:val="0"/>
  </w:num>
  <w:num w:numId="26">
    <w:abstractNumId w:val="8"/>
  </w:num>
  <w:num w:numId="27">
    <w:abstractNumId w:val="2"/>
  </w:num>
  <w:num w:numId="28">
    <w:abstractNumId w:val="3"/>
  </w:num>
  <w:num w:numId="29">
    <w:abstractNumId w:val="15"/>
  </w:num>
  <w:num w:numId="30">
    <w:abstractNumId w:val="4"/>
  </w:num>
  <w:num w:numId="31">
    <w:abstractNumId w:val="16"/>
  </w:num>
  <w:num w:numId="32">
    <w:abstractNumId w:val="13"/>
  </w:num>
  <w:num w:numId="33">
    <w:abstractNumId w:val="31"/>
  </w:num>
  <w:num w:numId="34">
    <w:abstractNumId w:val="25"/>
  </w:num>
  <w:num w:numId="35">
    <w:abstractNumId w:val="30"/>
  </w:num>
  <w:num w:numId="36">
    <w:abstractNumId w:val="6"/>
  </w:num>
  <w:num w:numId="37">
    <w:abstractNumId w:val="21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3F"/>
    <w:rsid w:val="00011B3F"/>
    <w:rsid w:val="00043F55"/>
    <w:rsid w:val="000466D8"/>
    <w:rsid w:val="000843F3"/>
    <w:rsid w:val="00085C22"/>
    <w:rsid w:val="000936FE"/>
    <w:rsid w:val="000C2412"/>
    <w:rsid w:val="000E04B1"/>
    <w:rsid w:val="000F4AC7"/>
    <w:rsid w:val="00100593"/>
    <w:rsid w:val="00147159"/>
    <w:rsid w:val="00196420"/>
    <w:rsid w:val="001A77F4"/>
    <w:rsid w:val="001C33A2"/>
    <w:rsid w:val="001D1662"/>
    <w:rsid w:val="001E1C34"/>
    <w:rsid w:val="00246717"/>
    <w:rsid w:val="00255BEA"/>
    <w:rsid w:val="002921DD"/>
    <w:rsid w:val="002A740D"/>
    <w:rsid w:val="002B3E60"/>
    <w:rsid w:val="002B7D41"/>
    <w:rsid w:val="002C7421"/>
    <w:rsid w:val="002F5053"/>
    <w:rsid w:val="0035304F"/>
    <w:rsid w:val="003B53FA"/>
    <w:rsid w:val="004241A4"/>
    <w:rsid w:val="00484A9C"/>
    <w:rsid w:val="005065C9"/>
    <w:rsid w:val="00512310"/>
    <w:rsid w:val="00531D87"/>
    <w:rsid w:val="005462DC"/>
    <w:rsid w:val="005570E9"/>
    <w:rsid w:val="005D3D0F"/>
    <w:rsid w:val="00605D80"/>
    <w:rsid w:val="00634690"/>
    <w:rsid w:val="006A2903"/>
    <w:rsid w:val="006C3B2D"/>
    <w:rsid w:val="007008E4"/>
    <w:rsid w:val="0079414C"/>
    <w:rsid w:val="00800632"/>
    <w:rsid w:val="008361FD"/>
    <w:rsid w:val="00856AA8"/>
    <w:rsid w:val="008818CB"/>
    <w:rsid w:val="008B554F"/>
    <w:rsid w:val="008D4268"/>
    <w:rsid w:val="00974E1B"/>
    <w:rsid w:val="009952AF"/>
    <w:rsid w:val="009C6CB8"/>
    <w:rsid w:val="009D3A7A"/>
    <w:rsid w:val="00A07233"/>
    <w:rsid w:val="00A437BB"/>
    <w:rsid w:val="00B420A8"/>
    <w:rsid w:val="00B6625C"/>
    <w:rsid w:val="00B8457B"/>
    <w:rsid w:val="00BA1C9B"/>
    <w:rsid w:val="00BC14DA"/>
    <w:rsid w:val="00BE3D91"/>
    <w:rsid w:val="00C60DD6"/>
    <w:rsid w:val="00C66F6E"/>
    <w:rsid w:val="00CB3CB8"/>
    <w:rsid w:val="00CB513E"/>
    <w:rsid w:val="00CD7AAD"/>
    <w:rsid w:val="00CF4DFB"/>
    <w:rsid w:val="00D37E8A"/>
    <w:rsid w:val="00D873C4"/>
    <w:rsid w:val="00DA458D"/>
    <w:rsid w:val="00DB1578"/>
    <w:rsid w:val="00DD0341"/>
    <w:rsid w:val="00E1118C"/>
    <w:rsid w:val="00EC7F37"/>
    <w:rsid w:val="00F27A1E"/>
    <w:rsid w:val="00F514BD"/>
    <w:rsid w:val="00F532ED"/>
    <w:rsid w:val="00F64283"/>
    <w:rsid w:val="00FE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2FEFE"/>
  <w15:chartTrackingRefBased/>
  <w15:docId w15:val="{9FAE3C11-A825-4406-A7AD-75D11906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15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B845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B7D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AA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1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DB157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4">
    <w:name w:val="Hyperlink"/>
    <w:basedOn w:val="a0"/>
    <w:uiPriority w:val="99"/>
    <w:unhideWhenUsed/>
    <w:rsid w:val="00DB1578"/>
    <w:rPr>
      <w:color w:val="0000FF"/>
      <w:u w:val="single"/>
    </w:rPr>
  </w:style>
  <w:style w:type="character" w:styleId="a5">
    <w:name w:val="Strong"/>
    <w:basedOn w:val="a0"/>
    <w:uiPriority w:val="22"/>
    <w:qFormat/>
    <w:rsid w:val="00DB1578"/>
    <w:rPr>
      <w:b/>
      <w:bCs/>
    </w:rPr>
  </w:style>
  <w:style w:type="character" w:styleId="a6">
    <w:name w:val="Emphasis"/>
    <w:basedOn w:val="a0"/>
    <w:uiPriority w:val="20"/>
    <w:qFormat/>
    <w:rsid w:val="00DB1578"/>
    <w:rPr>
      <w:i/>
      <w:iCs/>
    </w:rPr>
  </w:style>
  <w:style w:type="paragraph" w:styleId="a7">
    <w:name w:val="List Paragraph"/>
    <w:basedOn w:val="a"/>
    <w:uiPriority w:val="34"/>
    <w:qFormat/>
    <w:rsid w:val="009952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2B7D4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C7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C7F3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B8457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56AA8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498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76163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802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3396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473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3770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8418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4473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528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sw@dec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ec.gov.ua/materials/plan-zovnishnih-navchalnyh-zahodiv-derzhavnogo-ekspertnogo-czentru-moz-ukrayiny-na-2026-ri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efremova@dec.gov.ua" TargetMode="External"/><Relationship Id="rId5" Type="http://schemas.openxmlformats.org/officeDocument/2006/relationships/hyperlink" Target="mailto:amsw@dec.gov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counter</dc:creator>
  <cp:keywords/>
  <dc:description/>
  <cp:lastModifiedBy>Єфремова Валерія В'ячеславівна</cp:lastModifiedBy>
  <cp:revision>19</cp:revision>
  <cp:lastPrinted>2026-01-21T08:31:00Z</cp:lastPrinted>
  <dcterms:created xsi:type="dcterms:W3CDTF">2026-02-09T09:05:00Z</dcterms:created>
  <dcterms:modified xsi:type="dcterms:W3CDTF">2026-02-10T12:49:00Z</dcterms:modified>
</cp:coreProperties>
</file>