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Good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Clinical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Practice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(GCP).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trials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regulation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:rsidR="00CB277B" w:rsidRPr="008140CA" w:rsidRDefault="0070346F" w:rsidP="00033E7B">
      <w:pPr>
        <w:spacing w:after="0"/>
        <w:ind w:right="246"/>
        <w:jc w:val="center"/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</w:pPr>
      <w:r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2</w:t>
      </w:r>
      <w:r w:rsidR="008C717E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7</w:t>
      </w:r>
      <w:r w:rsidR="00320F5E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.</w:t>
      </w:r>
      <w:r w:rsidR="00BB7188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0</w:t>
      </w:r>
      <w:r w:rsidR="008C717E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3</w:t>
      </w:r>
      <w:r w:rsidR="00320F5E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.</w:t>
      </w:r>
      <w:r w:rsidR="00492605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202</w:t>
      </w:r>
      <w:r w:rsidR="00BB7188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>6</w:t>
      </w:r>
      <w:r w:rsidR="0076644E" w:rsidRPr="008140CA">
        <w:rPr>
          <w:rFonts w:ascii="Bookman Old Style" w:eastAsia="Times New Roman" w:hAnsi="Bookman Old Style"/>
          <w:b/>
          <w:i/>
          <w:w w:val="80"/>
          <w:sz w:val="26"/>
          <w:szCs w:val="26"/>
          <w:lang w:eastAsia="ru-RU"/>
        </w:rPr>
        <w:t xml:space="preserve">  </w:t>
      </w:r>
    </w:p>
    <w:p w:rsidR="00CB277B" w:rsidRDefault="00CB277B" w:rsidP="00DF4381">
      <w:pPr>
        <w:spacing w:after="0"/>
        <w:jc w:val="center"/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</w:t>
      </w:r>
      <w:proofErr w:type="spellEnd"/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p w:rsidR="008140CA" w:rsidRPr="006D3E29" w:rsidRDefault="008140CA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D97AE5">
        <w:trPr>
          <w:trHeight w:val="16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необхідно додати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D97AE5" w:rsidRDefault="000171B1" w:rsidP="00D97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E5">
              <w:rPr>
                <w:rFonts w:ascii="Times New Roman" w:hAnsi="Times New Roman"/>
                <w:sz w:val="20"/>
                <w:szCs w:val="18"/>
              </w:rPr>
              <w:t>(Звертаємо Вашу увагу на необхідність</w:t>
            </w:r>
            <w:r w:rsidR="008140CA">
              <w:rPr>
                <w:rFonts w:ascii="Times New Roman" w:hAnsi="Times New Roman"/>
                <w:sz w:val="20"/>
                <w:szCs w:val="18"/>
              </w:rPr>
              <w:t xml:space="preserve"> заповнення усіх полів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>та зазначення актуальних телефонів і електронних адрес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171B1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Default="000171B1" w:rsidP="00D97A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AE5">
              <w:rPr>
                <w:rFonts w:ascii="Times New Roman" w:hAnsi="Times New Roman"/>
                <w:sz w:val="20"/>
                <w:szCs w:val="20"/>
              </w:rPr>
              <w:t>контактні дані отримувача (</w:t>
            </w:r>
            <w:r w:rsidR="00D97AE5"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="00D97AE5">
              <w:rPr>
                <w:rFonts w:ascii="Times New Roman" w:hAnsi="Times New Roman"/>
                <w:sz w:val="20"/>
                <w:szCs w:val="20"/>
              </w:rPr>
              <w:t>)</w:t>
            </w:r>
            <w:r w:rsidR="008C5CC1">
              <w:rPr>
                <w:rFonts w:ascii="Times New Roman" w:hAnsi="Times New Roman"/>
                <w:sz w:val="20"/>
                <w:szCs w:val="20"/>
              </w:rPr>
              <w:t xml:space="preserve">, місто, номер відділення 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</w:t>
            </w:r>
            <w:r w:rsidR="008C5CC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  <w:p w:rsidR="000171B1" w:rsidRPr="00B62C95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1AA" w:rsidRPr="006D3E29" w:rsidTr="0016239E">
        <w:trPr>
          <w:trHeight w:val="2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1623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16239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97AE5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 w:rsidR="0016239E"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83486D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B7188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BB71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8140CA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BB7188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BB7188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p w:rsidR="00DF4381" w:rsidRDefault="00DF4381" w:rsidP="001A7438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sectPr w:rsidR="00DF4381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140CA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F857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4B62-A25F-41F3-BB56-45ACD607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20</cp:revision>
  <cp:lastPrinted>2025-01-07T07:29:00Z</cp:lastPrinted>
  <dcterms:created xsi:type="dcterms:W3CDTF">2025-01-08T09:45:00Z</dcterms:created>
  <dcterms:modified xsi:type="dcterms:W3CDTF">2026-03-03T06:51:00Z</dcterms:modified>
</cp:coreProperties>
</file>